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F1F1F"/>
          <w:sz w:val="34"/>
          <w:szCs w:val="34"/>
        </w:rPr>
        <w:t xml:space="preserve">DOSSIER DE VEILLE — SEP PRIMAIRE PROGRESSIVE</w:t>
      </w:r>
    </w:p>
    <w:p>
      <w:pPr>
        <w:spacing w:after="80"/>
      </w:pPr>
      <w:r>
        <w:rPr>
          <w:i/>
          <w:iCs/>
          <w:color w:val="666666"/>
          <w:sz w:val="22"/>
          <w:szCs w:val="22"/>
        </w:rPr>
        <w:t xml:space="preserve">Recherche causale, neuroprotection et essais cliniques</w:t>
      </w:r>
    </w:p>
    <w:p>
      <w:pPr>
        <w:spacing w:after="240"/>
      </w:pPr>
      <w:r>
        <w:rPr>
          <w:color w:val="666666"/>
          <w:sz w:val="19"/>
          <w:szCs w:val="19"/>
        </w:rPr>
        <w:t xml:space="preserve">Synthèse d'échange — 30 juillet 2026</w:t>
      </w:r>
    </w:p>
    <w:p>
      <w:pPr>
        <w:pBdr>
          <w:bottom w:val="single" w:color="CCCCCC" w:sz="6" w:space="1"/>
        </w:pBdr>
        <w:spacing w:after="200"/>
      </w:pPr>
    </w:p>
    <w:p>
      <w:pPr>
        <w:pStyle w:val="Heading1"/>
        <w:spacing w:after="160" w:before="360"/>
      </w:pPr>
      <w:r>
        <w:rPr>
          <w:b/>
          <w:bCs/>
          <w:color w:val="8A6D3B"/>
          <w:sz w:val="30"/>
          <w:szCs w:val="30"/>
        </w:rPr>
        <w:t xml:space="preserve">1. Contexte</w:t>
      </w:r>
    </w:p>
    <w:p>
      <w:pPr>
        <w:spacing w:after="160" w:line="300"/>
      </w:pPr>
      <w:r>
        <w:rPr>
          <w:color w:val="1F1F1F"/>
          <w:sz w:val="21"/>
          <w:szCs w:val="21"/>
        </w:rPr>
        <w:t xml:space="preserve">Profil : EDSS 6,5–7, forme peu active, atteinte cervicale avec perte axonale (hyposignaux T1 / « trous noirs »), ataxie cérébelleuse, force diminuée aux mains, marche très difficile.</w:t>
      </w:r>
    </w:p>
    <w:p>
      <w:pPr>
        <w:pBdr>
          <w:left w:val="single" w:color="8A6D3B" w:sz="18" w:space="8"/>
        </w:pBdr>
        <w:shd w:fill="F5F1E8" w:color="auto" w:val="clear"/>
        <w:spacing w:after="200" w:line="280"/>
        <w:ind w:left="200"/>
      </w:pPr>
      <w:r>
        <w:rPr>
          <w:i/>
          <w:iCs/>
          <w:color w:val="4A4A4A"/>
          <w:sz w:val="20"/>
          <w:szCs w:val="20"/>
        </w:rPr>
        <w:t xml:space="preserve">Ce document rassemble, en un seul endroit, l'ensemble des pistes évoquées : traitements disponibles, recherche sur les causes profondes (EBV, HERV-W), neuroprotection/remyélinisation, régénération tissulaire, et l'état réel — souvent décevant — des essais cliniques correspondants mi-2026.</w:t>
      </w:r>
    </w:p>
    <w:p>
      <w:pPr>
        <w:pStyle w:val="Heading1"/>
        <w:spacing w:after="160" w:before="360"/>
      </w:pPr>
      <w:r>
        <w:rPr>
          <w:b/>
          <w:bCs/>
          <w:color w:val="8A6D3B"/>
          <w:sz w:val="30"/>
          <w:szCs w:val="30"/>
        </w:rPr>
        <w:t xml:space="preserve">2. Pourquoi les traitements actuels ne suffisent pas</w:t>
      </w:r>
    </w:p>
    <w:p>
      <w:pPr>
        <w:spacing w:after="160" w:line="300"/>
      </w:pPr>
      <w:r>
        <w:rPr>
          <w:color w:val="1F1F1F"/>
          <w:sz w:val="21"/>
          <w:szCs w:val="21"/>
        </w:rPr>
        <w:t xml:space="preserve">Les traitements de fond approuvés (ocrélizumab en tête) agissent sur la cascade immunitaire en aval — lymphocytes B, inflammation — mais n'ont que peu de prise sur la neurodégénérescence déjà installée, telle que révélée par les trous noirs en séquence T1 à l'IRM, marqueurs de perte axonale irréversible, à distinguer des lésions actives réversibles en T2/FLAIR.</w:t>
      </w:r>
    </w:p>
    <w:p>
      <w:pPr>
        <w:pStyle w:val="ListParagraph"/>
        <w:numPr>
          <w:ilvl w:val="0"/>
          <w:numId w:val="2"/>
        </w:numPr>
        <w:spacing w:after="90" w:line="290"/>
      </w:pPr>
      <w:r>
        <w:rPr>
          <w:b w:val="false"/>
          <w:bCs w:val="false"/>
          <w:color w:val="1F1F1F"/>
          <w:sz w:val="21"/>
          <w:szCs w:val="21"/>
        </w:rPr>
        <w:t xml:space="preserve">Ocrélizumab : seul traitement avec autorisation officielle en SEP-PP, réduction démontrée du risque de progression du handicap, y compris chez des patients avancés.</w:t>
      </w:r>
    </w:p>
    <w:p>
      <w:pPr>
        <w:pStyle w:val="ListParagraph"/>
        <w:numPr>
          <w:ilvl w:val="0"/>
          <w:numId w:val="2"/>
        </w:numPr>
        <w:spacing w:after="90" w:line="290"/>
      </w:pPr>
      <w:r>
        <w:rPr>
          <w:b w:val="false"/>
          <w:bCs w:val="false"/>
          <w:color w:val="1F1F1F"/>
          <w:sz w:val="21"/>
          <w:szCs w:val="21"/>
        </w:rPr>
        <w:t xml:space="preserve">Tolébrutinib : autorisé en Europe pour certaines formes progressives, mais a échoué spécifiquement sur la SEP-PP dans l'essai PERSEUS (voir section 5).</w:t>
      </w:r>
    </w:p>
    <w:p>
      <w:pPr>
        <w:pStyle w:val="Heading1"/>
        <w:spacing w:after="160" w:before="360"/>
      </w:pPr>
      <w:r>
        <w:rPr>
          <w:b/>
          <w:bCs/>
          <w:color w:val="8A6D3B"/>
          <w:sz w:val="30"/>
          <w:szCs w:val="30"/>
        </w:rPr>
        <w:t xml:space="preserve">3. Facteurs causaux : EBV et prédispositions génétiques</w:t>
      </w:r>
    </w:p>
    <w:p>
      <w:pPr>
        <w:spacing w:after="160" w:line="300"/>
      </w:pPr>
      <w:r>
        <w:rPr>
          <w:color w:val="1F1F1F"/>
          <w:sz w:val="21"/>
          <w:szCs w:val="21"/>
        </w:rPr>
        <w:t xml:space="preserve">L'étude de cohorte de 10 millions de militaires américains (Ascherio et al., Science, janvier 2022) constitue la preuve la plus solide d'un lien de causalité entre infection par l'EBV et apparition de la SEP. L'EBV apparaît toutefois comme un facteur nécessaire mais non suffisant : environ 95 % de la population adulte est infectée, alors que seule une minorité développe une SEP. La maladie reste multifactorielle, combinant génétique, sexe, antécédents familiaux, tabagisme, carence en vitamine D et obésité à l'adolescence.</w:t>
      </w:r>
    </w:p>
    <w:p>
      <w:pPr>
        <w:spacing w:after="160" w:line="300"/>
      </w:pPr>
      <w:r>
        <w:rPr>
          <w:color w:val="1F1F1F"/>
          <w:sz w:val="21"/>
          <w:szCs w:val="21"/>
        </w:rPr>
        <w:t xml:space="preserve">Un second acteur viral suspecté : les rétrovirus endogènes humains (HERV-W), dont la protéine d'enveloppe (ENV) a un effet toxique direct sur les oligodendrocytes et les neurones — c'est la cible du temelimab (GeNeuro).</w:t>
      </w:r>
    </w:p>
    <w:p>
      <w:pPr>
        <w:pStyle w:val="Heading1"/>
        <w:spacing w:after="160" w:before="360"/>
      </w:pPr>
      <w:r>
        <w:rPr>
          <w:b/>
          <w:bCs/>
          <w:color w:val="8A6D3B"/>
          <w:sz w:val="30"/>
          <w:szCs w:val="30"/>
        </w:rPr>
        <w:t xml:space="preserve">4. Panorama des pistes « causales » et de leur statut réel</w:t>
      </w:r>
    </w:p>
    <w:tbl>
      <w:tblPr>
        <w:tblW w:type="dxa" w:w="102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600"/>
        <w:gridCol w:w="3260"/>
      </w:tblGrid>
      <w:tr>
        <w:trPr>
          <w:tblHeader/>
        </w:trPr>
        <w:tc>
          <w:tcPr>
            <w:tcW w:type="dxa" w:w="2200"/>
            <w:shd w:fill="8A6D3B" w:color="auto" w:val="clear"/>
            <w:tcMar>
              <w:top w:type="dxa" w:w="100"/>
              <w:left w:type="dxa" w:w="120"/>
              <w:bottom w:type="dxa" w:w="100"/>
              <w:right w:type="dxa" w:w="120"/>
            </w:tcMar>
          </w:tcPr>
          <w:p>
            <w:r>
              <w:rPr>
                <w:b/>
                <w:bCs/>
                <w:color w:val="FFFFFF"/>
                <w:sz w:val="19"/>
                <w:szCs w:val="19"/>
              </w:rPr>
              <w:t xml:space="preserve">Piste</w:t>
            </w:r>
          </w:p>
        </w:tc>
        <w:tc>
          <w:tcPr>
            <w:tcW w:type="dxa" w:w="2200"/>
            <w:shd w:fill="8A6D3B" w:color="auto" w:val="clear"/>
            <w:tcMar>
              <w:top w:type="dxa" w:w="100"/>
              <w:left w:type="dxa" w:w="120"/>
              <w:bottom w:type="dxa" w:w="100"/>
              <w:right w:type="dxa" w:w="120"/>
            </w:tcMar>
          </w:tcPr>
          <w:p>
            <w:r>
              <w:rPr>
                <w:b/>
                <w:bCs/>
                <w:color w:val="FFFFFF"/>
                <w:sz w:val="19"/>
                <w:szCs w:val="19"/>
              </w:rPr>
              <w:t xml:space="preserve">Cible</w:t>
            </w:r>
          </w:p>
        </w:tc>
        <w:tc>
          <w:tcPr>
            <w:tcW w:type="dxa" w:w="2600"/>
            <w:shd w:fill="8A6D3B" w:color="auto" w:val="clear"/>
            <w:tcMar>
              <w:top w:type="dxa" w:w="100"/>
              <w:left w:type="dxa" w:w="120"/>
              <w:bottom w:type="dxa" w:w="100"/>
              <w:right w:type="dxa" w:w="120"/>
            </w:tcMar>
          </w:tcPr>
          <w:p>
            <w:r>
              <w:rPr>
                <w:b/>
                <w:bCs/>
                <w:color w:val="FFFFFF"/>
                <w:sz w:val="19"/>
                <w:szCs w:val="19"/>
              </w:rPr>
              <w:t xml:space="preserve">Porteur</w:t>
            </w:r>
          </w:p>
        </w:tc>
        <w:tc>
          <w:tcPr>
            <w:tcW w:type="dxa" w:w="3260"/>
            <w:shd w:fill="8A6D3B" w:color="auto" w:val="clear"/>
            <w:tcMar>
              <w:top w:type="dxa" w:w="100"/>
              <w:left w:type="dxa" w:w="120"/>
              <w:bottom w:type="dxa" w:w="100"/>
              <w:right w:type="dxa" w:w="120"/>
            </w:tcMar>
          </w:tcPr>
          <w:p>
            <w:r>
              <w:rPr>
                <w:b/>
                <w:bCs/>
                <w:color w:val="FFFFFF"/>
                <w:sz w:val="19"/>
                <w:szCs w:val="19"/>
              </w:rPr>
              <w:t xml:space="preserve">Statut (juillet 2026)</w:t>
            </w:r>
          </w:p>
        </w:tc>
      </w:tr>
      <w:tr>
        <w:tc>
          <w:tcPr>
            <w:tcW w:type="dxa" w:w="2200"/>
            <w:shd w:fill="FFFFFF" w:color="auto" w:val="clear"/>
            <w:tcMar>
              <w:top w:type="dxa" w:w="100"/>
              <w:left w:type="dxa" w:w="120"/>
              <w:bottom w:type="dxa" w:w="100"/>
              <w:right w:type="dxa" w:w="120"/>
            </w:tcMar>
          </w:tcPr>
          <w:p>
            <w:r>
              <w:rPr>
                <w:b w:val="false"/>
                <w:bCs w:val="false"/>
                <w:color w:val="1F1F1F"/>
                <w:sz w:val="19"/>
                <w:szCs w:val="19"/>
              </w:rPr>
              <w:t xml:space="preserve">Ocrélizumab</w:t>
            </w:r>
          </w:p>
        </w:tc>
        <w:tc>
          <w:tcPr>
            <w:tcW w:type="dxa" w:w="2200"/>
            <w:shd w:fill="FFFFFF" w:color="auto" w:val="clear"/>
            <w:tcMar>
              <w:top w:type="dxa" w:w="100"/>
              <w:left w:type="dxa" w:w="120"/>
              <w:bottom w:type="dxa" w:w="100"/>
              <w:right w:type="dxa" w:w="120"/>
            </w:tcMar>
          </w:tcPr>
          <w:p>
            <w:r>
              <w:rPr>
                <w:b w:val="false"/>
                <w:bCs w:val="false"/>
                <w:color w:val="1F1F1F"/>
                <w:sz w:val="19"/>
                <w:szCs w:val="19"/>
              </w:rPr>
              <w:t xml:space="preserve">Lymphocytes B (CD20)</w:t>
            </w:r>
          </w:p>
        </w:tc>
        <w:tc>
          <w:tcPr>
            <w:tcW w:type="dxa" w:w="2600"/>
            <w:shd w:fill="FFFFFF" w:color="auto" w:val="clear"/>
            <w:tcMar>
              <w:top w:type="dxa" w:w="100"/>
              <w:left w:type="dxa" w:w="120"/>
              <w:bottom w:type="dxa" w:w="100"/>
              <w:right w:type="dxa" w:w="120"/>
            </w:tcMar>
          </w:tcPr>
          <w:p>
            <w:r>
              <w:rPr>
                <w:b w:val="false"/>
                <w:bCs w:val="false"/>
                <w:color w:val="1F1F1F"/>
                <w:sz w:val="19"/>
                <w:szCs w:val="19"/>
              </w:rPr>
              <w:t xml:space="preserve">Roche</w:t>
            </w:r>
          </w:p>
        </w:tc>
        <w:tc>
          <w:tcPr>
            <w:tcW w:type="dxa" w:w="3260"/>
            <w:shd w:fill="FFFFFF" w:color="auto" w:val="clear"/>
            <w:tcMar>
              <w:top w:type="dxa" w:w="100"/>
              <w:left w:type="dxa" w:w="120"/>
              <w:bottom w:type="dxa" w:w="100"/>
              <w:right w:type="dxa" w:w="120"/>
            </w:tcMar>
          </w:tcPr>
          <w:p>
            <w:r>
              <w:rPr>
                <w:b w:val="false"/>
                <w:bCs w:val="false"/>
                <w:color w:val="1F1F1F"/>
                <w:sz w:val="19"/>
                <w:szCs w:val="19"/>
              </w:rPr>
              <w:t xml:space="preserve">Seul traitement approuvé en SEP-PP, y compris stades avancés</w:t>
            </w:r>
          </w:p>
        </w:tc>
      </w:tr>
      <w:tr>
        <w:tc>
          <w:tcPr>
            <w:tcW w:type="dxa" w:w="2200"/>
            <w:shd w:fill="F7F5F0" w:color="auto" w:val="clear"/>
            <w:tcMar>
              <w:top w:type="dxa" w:w="100"/>
              <w:left w:type="dxa" w:w="120"/>
              <w:bottom w:type="dxa" w:w="100"/>
              <w:right w:type="dxa" w:w="120"/>
            </w:tcMar>
          </w:tcPr>
          <w:p>
            <w:r>
              <w:rPr>
                <w:b w:val="false"/>
                <w:bCs w:val="false"/>
                <w:color w:val="1F1F1F"/>
                <w:sz w:val="19"/>
                <w:szCs w:val="19"/>
              </w:rPr>
              <w:t xml:space="preserve">Tolébrutinib (PERSEUS)</w:t>
            </w:r>
          </w:p>
        </w:tc>
        <w:tc>
          <w:tcPr>
            <w:tcW w:type="dxa" w:w="2200"/>
            <w:shd w:fill="F7F5F0" w:color="auto" w:val="clear"/>
            <w:tcMar>
              <w:top w:type="dxa" w:w="100"/>
              <w:left w:type="dxa" w:w="120"/>
              <w:bottom w:type="dxa" w:w="100"/>
              <w:right w:type="dxa" w:w="120"/>
            </w:tcMar>
          </w:tcPr>
          <w:p>
            <w:r>
              <w:rPr>
                <w:b w:val="false"/>
                <w:bCs w:val="false"/>
                <w:color w:val="1F1F1F"/>
                <w:sz w:val="19"/>
                <w:szCs w:val="19"/>
              </w:rPr>
              <w:t xml:space="preserve">BTK, inflammation intra-SNC</w:t>
            </w:r>
          </w:p>
        </w:tc>
        <w:tc>
          <w:tcPr>
            <w:tcW w:type="dxa" w:w="2600"/>
            <w:shd w:fill="F7F5F0" w:color="auto" w:val="clear"/>
            <w:tcMar>
              <w:top w:type="dxa" w:w="100"/>
              <w:left w:type="dxa" w:w="120"/>
              <w:bottom w:type="dxa" w:w="100"/>
              <w:right w:type="dxa" w:w="120"/>
            </w:tcMar>
          </w:tcPr>
          <w:p>
            <w:r>
              <w:rPr>
                <w:b w:val="false"/>
                <w:bCs w:val="false"/>
                <w:color w:val="1F1F1F"/>
                <w:sz w:val="19"/>
                <w:szCs w:val="19"/>
              </w:rPr>
              <w:t xml:space="preserve">Sanofi</w:t>
            </w:r>
          </w:p>
        </w:tc>
        <w:tc>
          <w:tcPr>
            <w:tcW w:type="dxa" w:w="3260"/>
            <w:shd w:fill="F7F5F0" w:color="auto" w:val="clear"/>
            <w:tcMar>
              <w:top w:type="dxa" w:w="100"/>
              <w:left w:type="dxa" w:w="120"/>
              <w:bottom w:type="dxa" w:w="100"/>
              <w:right w:type="dxa" w:w="120"/>
            </w:tcMar>
          </w:tcPr>
          <w:p>
            <w:r>
              <w:rPr>
                <w:b w:val="false"/>
                <w:bCs w:val="false"/>
                <w:color w:val="1F1F1F"/>
                <w:sz w:val="19"/>
                <w:szCs w:val="19"/>
              </w:rPr>
              <w:t xml:space="preserve">Échec du critère principal en PPMS (déc. 2025) — abandonné pour cette indication</w:t>
            </w:r>
          </w:p>
        </w:tc>
      </w:tr>
      <w:tr>
        <w:tc>
          <w:tcPr>
            <w:tcW w:type="dxa" w:w="2200"/>
            <w:shd w:fill="FFFFFF" w:color="auto" w:val="clear"/>
            <w:tcMar>
              <w:top w:type="dxa" w:w="100"/>
              <w:left w:type="dxa" w:w="120"/>
              <w:bottom w:type="dxa" w:w="100"/>
              <w:right w:type="dxa" w:w="120"/>
            </w:tcMar>
          </w:tcPr>
          <w:p>
            <w:r>
              <w:rPr>
                <w:b w:val="false"/>
                <w:bCs w:val="false"/>
                <w:color w:val="1F1F1F"/>
                <w:sz w:val="19"/>
                <w:szCs w:val="19"/>
              </w:rPr>
              <w:t xml:space="preserve">Masitinib (MAXIMS)</w:t>
            </w:r>
          </w:p>
        </w:tc>
        <w:tc>
          <w:tcPr>
            <w:tcW w:type="dxa" w:w="2200"/>
            <w:shd w:fill="FFFFFF" w:color="auto" w:val="clear"/>
            <w:tcMar>
              <w:top w:type="dxa" w:w="100"/>
              <w:left w:type="dxa" w:w="120"/>
              <w:bottom w:type="dxa" w:w="100"/>
              <w:right w:type="dxa" w:w="120"/>
            </w:tcMar>
          </w:tcPr>
          <w:p>
            <w:r>
              <w:rPr>
                <w:b w:val="false"/>
                <w:bCs w:val="false"/>
                <w:color w:val="1F1F1F"/>
                <w:sz w:val="19"/>
                <w:szCs w:val="19"/>
              </w:rPr>
              <w:t xml:space="preserve">Mastocytes / microglie</w:t>
            </w:r>
          </w:p>
        </w:tc>
        <w:tc>
          <w:tcPr>
            <w:tcW w:type="dxa" w:w="2600"/>
            <w:shd w:fill="FFFFFF" w:color="auto" w:val="clear"/>
            <w:tcMar>
              <w:top w:type="dxa" w:w="100"/>
              <w:left w:type="dxa" w:w="120"/>
              <w:bottom w:type="dxa" w:w="100"/>
              <w:right w:type="dxa" w:w="120"/>
            </w:tcMar>
          </w:tcPr>
          <w:p>
            <w:r>
              <w:rPr>
                <w:b w:val="false"/>
                <w:bCs w:val="false"/>
                <w:color w:val="1F1F1F"/>
                <w:sz w:val="19"/>
                <w:szCs w:val="19"/>
              </w:rPr>
              <w:t xml:space="preserve">AB Science</w:t>
            </w:r>
          </w:p>
        </w:tc>
        <w:tc>
          <w:tcPr>
            <w:tcW w:type="dxa" w:w="3260"/>
            <w:shd w:fill="FFFFFF" w:color="auto" w:val="clear"/>
            <w:tcMar>
              <w:top w:type="dxa" w:w="100"/>
              <w:left w:type="dxa" w:w="120"/>
              <w:bottom w:type="dxa" w:w="100"/>
              <w:right w:type="dxa" w:w="120"/>
            </w:tcMar>
          </w:tcPr>
          <w:p>
            <w:r>
              <w:rPr>
                <w:b w:val="false"/>
                <w:bCs w:val="false"/>
                <w:color w:val="1F1F1F"/>
                <w:sz w:val="19"/>
                <w:szCs w:val="19"/>
              </w:rPr>
              <w:t xml:space="preserve">Phase 3 en cours ; EDSS d'inclusion 3,0–6,0 ; société en grande fragilité financière, changement de PDG juillet 2026</w:t>
            </w:r>
          </w:p>
        </w:tc>
      </w:tr>
      <w:tr>
        <w:tc>
          <w:tcPr>
            <w:tcW w:type="dxa" w:w="2200"/>
            <w:shd w:fill="F7F5F0" w:color="auto" w:val="clear"/>
            <w:tcMar>
              <w:top w:type="dxa" w:w="100"/>
              <w:left w:type="dxa" w:w="120"/>
              <w:bottom w:type="dxa" w:w="100"/>
              <w:right w:type="dxa" w:w="120"/>
            </w:tcMar>
          </w:tcPr>
          <w:p>
            <w:r>
              <w:rPr>
                <w:b w:val="false"/>
                <w:bCs w:val="false"/>
                <w:color w:val="1F1F1F"/>
                <w:sz w:val="19"/>
                <w:szCs w:val="19"/>
              </w:rPr>
              <w:t xml:space="preserve">ATA188 (EMBOLD)</w:t>
            </w:r>
          </w:p>
        </w:tc>
        <w:tc>
          <w:tcPr>
            <w:tcW w:type="dxa" w:w="2200"/>
            <w:shd w:fill="F7F5F0" w:color="auto" w:val="clear"/>
            <w:tcMar>
              <w:top w:type="dxa" w:w="100"/>
              <w:left w:type="dxa" w:w="120"/>
              <w:bottom w:type="dxa" w:w="100"/>
              <w:right w:type="dxa" w:w="120"/>
            </w:tcMar>
          </w:tcPr>
          <w:p>
            <w:r>
              <w:rPr>
                <w:b w:val="false"/>
                <w:bCs w:val="false"/>
                <w:color w:val="1F1F1F"/>
                <w:sz w:val="19"/>
                <w:szCs w:val="19"/>
              </w:rPr>
              <w:t xml:space="preserve">Lymphocytes B infectés par l'EBV</w:t>
            </w:r>
          </w:p>
        </w:tc>
        <w:tc>
          <w:tcPr>
            <w:tcW w:type="dxa" w:w="2600"/>
            <w:shd w:fill="F7F5F0" w:color="auto" w:val="clear"/>
            <w:tcMar>
              <w:top w:type="dxa" w:w="100"/>
              <w:left w:type="dxa" w:w="120"/>
              <w:bottom w:type="dxa" w:w="100"/>
              <w:right w:type="dxa" w:w="120"/>
            </w:tcMar>
          </w:tcPr>
          <w:p>
            <w:r>
              <w:rPr>
                <w:b w:val="false"/>
                <w:bCs w:val="false"/>
                <w:color w:val="1F1F1F"/>
                <w:sz w:val="19"/>
                <w:szCs w:val="19"/>
              </w:rPr>
              <w:t xml:space="preserve">Atara Biotherapeutics</w:t>
            </w:r>
          </w:p>
        </w:tc>
        <w:tc>
          <w:tcPr>
            <w:tcW w:type="dxa" w:w="3260"/>
            <w:shd w:fill="F7F5F0" w:color="auto" w:val="clear"/>
            <w:tcMar>
              <w:top w:type="dxa" w:w="100"/>
              <w:left w:type="dxa" w:w="120"/>
              <w:bottom w:type="dxa" w:w="100"/>
              <w:right w:type="dxa" w:w="120"/>
            </w:tcMar>
          </w:tcPr>
          <w:p>
            <w:r>
              <w:rPr>
                <w:b w:val="false"/>
                <w:bCs w:val="false"/>
                <w:color w:val="1F1F1F"/>
                <w:sz w:val="19"/>
                <w:szCs w:val="19"/>
              </w:rPr>
              <w:t xml:space="preserve">Échec du critère principal (2026) ; ressources réorientées vers d'autres programmes</w:t>
            </w:r>
          </w:p>
        </w:tc>
      </w:tr>
      <w:tr>
        <w:tc>
          <w:tcPr>
            <w:tcW w:type="dxa" w:w="2200"/>
            <w:shd w:fill="FFFFFF" w:color="auto" w:val="clear"/>
            <w:tcMar>
              <w:top w:type="dxa" w:w="100"/>
              <w:left w:type="dxa" w:w="120"/>
              <w:bottom w:type="dxa" w:w="100"/>
              <w:right w:type="dxa" w:w="120"/>
            </w:tcMar>
          </w:tcPr>
          <w:p>
            <w:r>
              <w:rPr>
                <w:b w:val="false"/>
                <w:bCs w:val="false"/>
                <w:color w:val="1F1F1F"/>
                <w:sz w:val="19"/>
                <w:szCs w:val="19"/>
              </w:rPr>
              <w:t xml:space="preserve">Temelimab</w:t>
            </w:r>
          </w:p>
        </w:tc>
        <w:tc>
          <w:tcPr>
            <w:tcW w:type="dxa" w:w="2200"/>
            <w:shd w:fill="FFFFFF" w:color="auto" w:val="clear"/>
            <w:tcMar>
              <w:top w:type="dxa" w:w="100"/>
              <w:left w:type="dxa" w:w="120"/>
              <w:bottom w:type="dxa" w:w="100"/>
              <w:right w:type="dxa" w:w="120"/>
            </w:tcMar>
          </w:tcPr>
          <w:p>
            <w:r>
              <w:rPr>
                <w:b w:val="false"/>
                <w:bCs w:val="false"/>
                <w:color w:val="1F1F1F"/>
                <w:sz w:val="19"/>
                <w:szCs w:val="19"/>
              </w:rPr>
              <w:t xml:space="preserve">Protéine HERV-W ENV</w:t>
            </w:r>
          </w:p>
        </w:tc>
        <w:tc>
          <w:tcPr>
            <w:tcW w:type="dxa" w:w="2600"/>
            <w:shd w:fill="FFFFFF" w:color="auto" w:val="clear"/>
            <w:tcMar>
              <w:top w:type="dxa" w:w="100"/>
              <w:left w:type="dxa" w:w="120"/>
              <w:bottom w:type="dxa" w:w="100"/>
              <w:right w:type="dxa" w:w="120"/>
            </w:tcMar>
          </w:tcPr>
          <w:p>
            <w:r>
              <w:rPr>
                <w:b w:val="false"/>
                <w:bCs w:val="false"/>
                <w:color w:val="1F1F1F"/>
                <w:sz w:val="19"/>
                <w:szCs w:val="19"/>
              </w:rPr>
              <w:t xml:space="preserve">GeNeuro</w:t>
            </w:r>
          </w:p>
        </w:tc>
        <w:tc>
          <w:tcPr>
            <w:tcW w:type="dxa" w:w="3260"/>
            <w:shd w:fill="FFFFFF" w:color="auto" w:val="clear"/>
            <w:tcMar>
              <w:top w:type="dxa" w:w="100"/>
              <w:left w:type="dxa" w:w="120"/>
              <w:bottom w:type="dxa" w:w="100"/>
              <w:right w:type="dxa" w:w="120"/>
            </w:tcMar>
          </w:tcPr>
          <w:p>
            <w:r>
              <w:rPr>
                <w:b w:val="false"/>
                <w:bCs w:val="false"/>
                <w:color w:val="1F1F1F"/>
                <w:sz w:val="19"/>
                <w:szCs w:val="19"/>
              </w:rPr>
              <w:t xml:space="preserve">Société en faillite (28 janv. 2026) ; aucun repreneur identifié à ce jour</w:t>
            </w:r>
          </w:p>
        </w:tc>
      </w:tr>
      <w:tr>
        <w:tc>
          <w:tcPr>
            <w:tcW w:type="dxa" w:w="2200"/>
            <w:shd w:fill="F7F5F0" w:color="auto" w:val="clear"/>
            <w:tcMar>
              <w:top w:type="dxa" w:w="100"/>
              <w:left w:type="dxa" w:w="120"/>
              <w:bottom w:type="dxa" w:w="100"/>
              <w:right w:type="dxa" w:w="120"/>
            </w:tcMar>
          </w:tcPr>
          <w:p>
            <w:r>
              <w:rPr>
                <w:b w:val="false"/>
                <w:bCs w:val="false"/>
                <w:color w:val="1F1F1F"/>
                <w:sz w:val="19"/>
                <w:szCs w:val="19"/>
              </w:rPr>
              <w:t xml:space="preserve">mRNA-1189</w:t>
            </w:r>
          </w:p>
        </w:tc>
        <w:tc>
          <w:tcPr>
            <w:tcW w:type="dxa" w:w="2200"/>
            <w:shd w:fill="F7F5F0" w:color="auto" w:val="clear"/>
            <w:tcMar>
              <w:top w:type="dxa" w:w="100"/>
              <w:left w:type="dxa" w:w="120"/>
              <w:bottom w:type="dxa" w:w="100"/>
              <w:right w:type="dxa" w:w="120"/>
            </w:tcMar>
          </w:tcPr>
          <w:p>
            <w:r>
              <w:rPr>
                <w:b w:val="false"/>
                <w:bCs w:val="false"/>
                <w:color w:val="1F1F1F"/>
                <w:sz w:val="19"/>
                <w:szCs w:val="19"/>
              </w:rPr>
              <w:t xml:space="preserve">Prévention de l'infection EBV</w:t>
            </w:r>
          </w:p>
        </w:tc>
        <w:tc>
          <w:tcPr>
            <w:tcW w:type="dxa" w:w="2600"/>
            <w:shd w:fill="F7F5F0" w:color="auto" w:val="clear"/>
            <w:tcMar>
              <w:top w:type="dxa" w:w="100"/>
              <w:left w:type="dxa" w:w="120"/>
              <w:bottom w:type="dxa" w:w="100"/>
              <w:right w:type="dxa" w:w="120"/>
            </w:tcMar>
          </w:tcPr>
          <w:p>
            <w:r>
              <w:rPr>
                <w:b w:val="false"/>
                <w:bCs w:val="false"/>
                <w:color w:val="1F1F1F"/>
                <w:sz w:val="19"/>
                <w:szCs w:val="19"/>
              </w:rPr>
              <w:t xml:space="preserve">Moderna</w:t>
            </w:r>
          </w:p>
        </w:tc>
        <w:tc>
          <w:tcPr>
            <w:tcW w:type="dxa" w:w="3260"/>
            <w:shd w:fill="F7F5F0" w:color="auto" w:val="clear"/>
            <w:tcMar>
              <w:top w:type="dxa" w:w="100"/>
              <w:left w:type="dxa" w:w="120"/>
              <w:bottom w:type="dxa" w:w="100"/>
              <w:right w:type="dxa" w:w="120"/>
            </w:tcMar>
          </w:tcPr>
          <w:p>
            <w:r>
              <w:rPr>
                <w:b w:val="false"/>
                <w:bCs w:val="false"/>
                <w:color w:val="1F1F1F"/>
                <w:sz w:val="19"/>
                <w:szCs w:val="19"/>
              </w:rPr>
              <w:t xml:space="preserve">Phase 1/2 ; prophylactique uniquement, non pertinent pour un patient déjà atteint</w:t>
            </w:r>
          </w:p>
        </w:tc>
      </w:tr>
      <w:tr>
        <w:tc>
          <w:tcPr>
            <w:tcW w:type="dxa" w:w="2200"/>
            <w:shd w:fill="FFFFFF" w:color="auto" w:val="clear"/>
            <w:tcMar>
              <w:top w:type="dxa" w:w="100"/>
              <w:left w:type="dxa" w:w="120"/>
              <w:bottom w:type="dxa" w:w="100"/>
              <w:right w:type="dxa" w:w="120"/>
            </w:tcMar>
          </w:tcPr>
          <w:p>
            <w:r>
              <w:rPr>
                <w:b w:val="false"/>
                <w:bCs w:val="false"/>
                <w:color w:val="1F1F1F"/>
                <w:sz w:val="19"/>
                <w:szCs w:val="19"/>
              </w:rPr>
              <w:t xml:space="preserve">Bavisant</w:t>
            </w:r>
          </w:p>
        </w:tc>
        <w:tc>
          <w:tcPr>
            <w:tcW w:type="dxa" w:w="2200"/>
            <w:shd w:fill="FFFFFF" w:color="auto" w:val="clear"/>
            <w:tcMar>
              <w:top w:type="dxa" w:w="100"/>
              <w:left w:type="dxa" w:w="120"/>
              <w:bottom w:type="dxa" w:w="100"/>
              <w:right w:type="dxa" w:w="120"/>
            </w:tcMar>
          </w:tcPr>
          <w:p>
            <w:r>
              <w:rPr>
                <w:b w:val="false"/>
                <w:bCs w:val="false"/>
                <w:color w:val="1F1F1F"/>
                <w:sz w:val="19"/>
                <w:szCs w:val="19"/>
              </w:rPr>
              <w:t xml:space="preserve">Remyélinisation / neuroprotection</w:t>
            </w:r>
          </w:p>
        </w:tc>
        <w:tc>
          <w:tcPr>
            <w:tcW w:type="dxa" w:w="2600"/>
            <w:shd w:fill="FFFFFF" w:color="auto" w:val="clear"/>
            <w:tcMar>
              <w:top w:type="dxa" w:w="100"/>
              <w:left w:type="dxa" w:w="120"/>
              <w:bottom w:type="dxa" w:w="100"/>
              <w:right w:type="dxa" w:w="120"/>
            </w:tcMar>
          </w:tcPr>
          <w:p>
            <w:r>
              <w:rPr>
                <w:b w:val="false"/>
                <w:bCs w:val="false"/>
                <w:color w:val="1F1F1F"/>
                <w:sz w:val="19"/>
                <w:szCs w:val="19"/>
              </w:rPr>
              <w:t xml:space="preserve">Institut du Cerveau (ICM)</w:t>
            </w:r>
          </w:p>
        </w:tc>
        <w:tc>
          <w:tcPr>
            <w:tcW w:type="dxa" w:w="3260"/>
            <w:shd w:fill="FFFFFF" w:color="auto" w:val="clear"/>
            <w:tcMar>
              <w:top w:type="dxa" w:w="100"/>
              <w:left w:type="dxa" w:w="120"/>
              <w:bottom w:type="dxa" w:w="100"/>
              <w:right w:type="dxa" w:w="120"/>
            </w:tcMar>
          </w:tcPr>
          <w:p>
            <w:r>
              <w:rPr>
                <w:b w:val="false"/>
                <w:bCs w:val="false"/>
                <w:color w:val="1F1F1F"/>
                <w:sz w:val="19"/>
                <w:szCs w:val="19"/>
              </w:rPr>
              <w:t xml:space="preserve">Stade préclinique ; pas d'essai chez l'humain à ce jour</w:t>
            </w:r>
          </w:p>
        </w:tc>
      </w:tr>
      <w:tr>
        <w:tc>
          <w:tcPr>
            <w:tcW w:type="dxa" w:w="2200"/>
            <w:shd w:fill="F7F5F0" w:color="auto" w:val="clear"/>
            <w:tcMar>
              <w:top w:type="dxa" w:w="100"/>
              <w:left w:type="dxa" w:w="120"/>
              <w:bottom w:type="dxa" w:w="100"/>
              <w:right w:type="dxa" w:w="120"/>
            </w:tcMar>
          </w:tcPr>
          <w:p>
            <w:r>
              <w:rPr>
                <w:b w:val="false"/>
                <w:bCs w:val="false"/>
                <w:color w:val="1F1F1F"/>
                <w:sz w:val="19"/>
                <w:szCs w:val="19"/>
              </w:rPr>
              <w:t xml:space="preserve">Nanofibres bioactives</w:t>
            </w:r>
          </w:p>
        </w:tc>
        <w:tc>
          <w:tcPr>
            <w:tcW w:type="dxa" w:w="2200"/>
            <w:shd w:fill="F7F5F0" w:color="auto" w:val="clear"/>
            <w:tcMar>
              <w:top w:type="dxa" w:w="100"/>
              <w:left w:type="dxa" w:w="120"/>
              <w:bottom w:type="dxa" w:w="100"/>
              <w:right w:type="dxa" w:w="120"/>
            </w:tcMar>
          </w:tcPr>
          <w:p>
            <w:r>
              <w:rPr>
                <w:b w:val="false"/>
                <w:bCs w:val="false"/>
                <w:color w:val="1F1F1F"/>
                <w:sz w:val="19"/>
                <w:szCs w:val="19"/>
              </w:rPr>
              <w:t xml:space="preserve">Régénération axonale / matrice extracellulaire</w:t>
            </w:r>
          </w:p>
        </w:tc>
        <w:tc>
          <w:tcPr>
            <w:tcW w:type="dxa" w:w="2600"/>
            <w:shd w:fill="F7F5F0" w:color="auto" w:val="clear"/>
            <w:tcMar>
              <w:top w:type="dxa" w:w="100"/>
              <w:left w:type="dxa" w:w="120"/>
              <w:bottom w:type="dxa" w:w="100"/>
              <w:right w:type="dxa" w:w="120"/>
            </w:tcMar>
          </w:tcPr>
          <w:p>
            <w:r>
              <w:rPr>
                <w:b w:val="false"/>
                <w:bCs w:val="false"/>
                <w:color w:val="1F1F1F"/>
                <w:sz w:val="19"/>
                <w:szCs w:val="19"/>
              </w:rPr>
              <w:t xml:space="preserve">Lab. S. Stupp — Northwestern / Amphix Bio</w:t>
            </w:r>
          </w:p>
        </w:tc>
        <w:tc>
          <w:tcPr>
            <w:tcW w:type="dxa" w:w="3260"/>
            <w:shd w:fill="F7F5F0" w:color="auto" w:val="clear"/>
            <w:tcMar>
              <w:top w:type="dxa" w:w="100"/>
              <w:left w:type="dxa" w:w="120"/>
              <w:bottom w:type="dxa" w:w="100"/>
              <w:right w:type="dxa" w:w="120"/>
            </w:tcMar>
          </w:tcPr>
          <w:p>
            <w:r>
              <w:rPr>
                <w:b w:val="false"/>
                <w:bCs w:val="false"/>
                <w:color w:val="1F1F1F"/>
                <w:sz w:val="19"/>
                <w:szCs w:val="19"/>
              </w:rPr>
              <w:t xml:space="preserve">Essais humains visés fin 2026, réservés aux lésions médullaires aiguës traumatiques</w:t>
            </w:r>
          </w:p>
        </w:tc>
      </w:tr>
    </w:tbl>
    <w:p>
      <w:pPr>
        <w:pBdr>
          <w:left w:val="single" w:color="8A6D3B" w:sz="18" w:space="8"/>
        </w:pBdr>
        <w:shd w:fill="F5F1E8" w:color="auto" w:val="clear"/>
        <w:spacing w:after="200" w:line="280"/>
        <w:ind w:left="200"/>
      </w:pPr>
      <w:r>
        <w:rPr>
          <w:i/>
          <w:iCs/>
          <w:color w:val="4A4A4A"/>
          <w:sz w:val="20"/>
          <w:szCs w:val="20"/>
        </w:rPr>
        <w:t xml:space="preserve">Lecture d'ensemble : sur les trois approches les plus « causales » identifiées (masitinib, temelimab, ATA188), deux ont échoué cliniquement et une a coulé financièrement avant d'avoir pu conclure. Ce n'est pas une invalidation du concept biologique — EBV et HERV-W restent des cibles fondées — mais un constat sur l'exécution clinique et industrielle de ces vingt dernières années.</w:t>
      </w:r>
    </w:p>
    <w:p>
      <w:pPr>
        <w:pStyle w:val="Heading1"/>
        <w:spacing w:after="160" w:before="360"/>
      </w:pPr>
      <w:r>
        <w:rPr>
          <w:b/>
          <w:bCs/>
          <w:color w:val="8A6D3B"/>
          <w:sz w:val="30"/>
          <w:szCs w:val="30"/>
        </w:rPr>
        <w:t xml:space="preserve">5. Échecs marquants récents (2025–2026)</w:t>
      </w:r>
    </w:p>
    <w:p>
      <w:pPr>
        <w:pStyle w:val="ListParagraph"/>
        <w:numPr>
          <w:ilvl w:val="0"/>
          <w:numId w:val="2"/>
        </w:numPr>
        <w:spacing w:after="90" w:line="290"/>
      </w:pPr>
      <w:r>
        <w:rPr>
          <w:b w:val="false"/>
          <w:bCs w:val="false"/>
          <w:color w:val="1F1F1F"/>
          <w:sz w:val="21"/>
          <w:szCs w:val="21"/>
        </w:rPr>
        <w:t xml:space="preserve">PERSEUS (Sanofi, tolébrutinib) — décembre 2025 : échec du critère principal de retard du handicap en SEP-PP (population EDSS moyen 4,9), malgré une réduction significative de la perte de volume cérébral à l'IRM — dissociation notable entre biomarqueur et bénéfice clinique.</w:t>
      </w:r>
    </w:p>
    <w:p>
      <w:pPr>
        <w:pStyle w:val="ListParagraph"/>
        <w:numPr>
          <w:ilvl w:val="0"/>
          <w:numId w:val="2"/>
        </w:numPr>
        <w:spacing w:after="90" w:line="290"/>
      </w:pPr>
      <w:r>
        <w:rPr>
          <w:b w:val="false"/>
          <w:bCs w:val="false"/>
          <w:color w:val="1F1F1F"/>
          <w:sz w:val="21"/>
          <w:szCs w:val="21"/>
        </w:rPr>
        <w:t xml:space="preserve">EMBOLD (Atara, ATA188) — 2026 : échec du critère principal après 12 mois (amélioration de 6 % sous traitement contre 16 % sous placebo) ; ressources réorientées vers d'autres programmes de la société.</w:t>
      </w:r>
    </w:p>
    <w:p>
      <w:pPr>
        <w:pStyle w:val="ListParagraph"/>
        <w:numPr>
          <w:ilvl w:val="0"/>
          <w:numId w:val="2"/>
        </w:numPr>
        <w:spacing w:after="90" w:line="290"/>
      </w:pPr>
      <w:r>
        <w:rPr>
          <w:b w:val="false"/>
          <w:bCs w:val="false"/>
          <w:color w:val="1F1F1F"/>
          <w:sz w:val="21"/>
          <w:szCs w:val="21"/>
        </w:rPr>
        <w:t xml:space="preserve">GeNeuro (temelimab) — faillite prononcée le 28 janvier 2026 par le tribunal de Genève, malgré l'intérêt scientifique reconnu des programmes ; aucune reprise finalisée ; aucun repreneur identifié à ce jour pour les actifs HERV-W.</w:t>
      </w:r>
    </w:p>
    <w:p>
      <w:pPr>
        <w:pStyle w:val="ListParagraph"/>
        <w:numPr>
          <w:ilvl w:val="0"/>
          <w:numId w:val="2"/>
        </w:numPr>
        <w:spacing w:after="90" w:line="290"/>
      </w:pPr>
      <w:r>
        <w:rPr>
          <w:b w:val="false"/>
          <w:bCs w:val="false"/>
          <w:color w:val="1F1F1F"/>
          <w:sz w:val="21"/>
          <w:szCs w:val="21"/>
        </w:rPr>
        <w:t xml:space="preserve">MS-SMART (UCL) — phase 2b : amiloride, fluoxétine et riluzole testés en neuroprotection ; aucun n'a montré de bénéfice suffisant pour passer en phase 3.</w:t>
      </w:r>
    </w:p>
    <w:p>
      <w:pPr>
        <w:pStyle w:val="Heading1"/>
        <w:spacing w:after="160" w:before="360"/>
      </w:pPr>
      <w:r>
        <w:rPr>
          <w:b/>
          <w:bCs/>
          <w:color w:val="8A6D3B"/>
          <w:sz w:val="30"/>
          <w:szCs w:val="30"/>
        </w:rPr>
        <w:t xml:space="preserve">6. Neuroprotection et remyélinisation</w:t>
      </w:r>
    </w:p>
    <w:p>
      <w:pPr>
        <w:spacing w:after="160" w:line="300"/>
      </w:pPr>
      <w:r>
        <w:rPr>
          <w:color w:val="1F1F1F"/>
          <w:sz w:val="21"/>
          <w:szCs w:val="21"/>
        </w:rPr>
        <w:t xml:space="preserve">La remyélinisation corticale spontanée précoce a un effet neuroprotecteur réel (réduction de moitié du risque d'aggravation clinique lorsqu'elle survient tôt), mais aucune molécule remyélinisante n'est aujourd'hui validée en phase 3.</w:t>
      </w:r>
    </w:p>
    <w:p>
      <w:pPr>
        <w:pStyle w:val="ListParagraph"/>
        <w:numPr>
          <w:ilvl w:val="0"/>
          <w:numId w:val="2"/>
        </w:numPr>
        <w:spacing w:after="90" w:line="290"/>
      </w:pPr>
      <w:r>
        <w:rPr>
          <w:b w:val="false"/>
          <w:bCs w:val="false"/>
          <w:color w:val="1F1F1F"/>
          <w:sz w:val="21"/>
          <w:szCs w:val="21"/>
        </w:rPr>
        <w:t xml:space="preserve">Bavisant (Institut du Cerveau, ICM, janvier 2026) : candidat favorisant remyélinisation et neuroprotection en modèles précliniques — encore loin de l'humain.</w:t>
      </w:r>
    </w:p>
    <w:p>
      <w:pPr>
        <w:pStyle w:val="ListParagraph"/>
        <w:numPr>
          <w:ilvl w:val="0"/>
          <w:numId w:val="2"/>
        </w:numPr>
        <w:spacing w:after="90" w:line="290"/>
      </w:pPr>
      <w:r>
        <w:rPr>
          <w:b w:val="false"/>
          <w:bCs w:val="false"/>
          <w:color w:val="1F1F1F"/>
          <w:sz w:val="21"/>
          <w:szCs w:val="21"/>
        </w:rPr>
        <w:t xml:space="preserve">Clémastine : capacité in vitro à favoriser la différenciation des précurseurs d'oligodendrocytes ; résultats cliniques modestes à ce jour.</w:t>
      </w:r>
    </w:p>
    <w:p>
      <w:pPr>
        <w:pStyle w:val="Heading1"/>
        <w:spacing w:after="160" w:before="360"/>
      </w:pPr>
      <w:r>
        <w:rPr>
          <w:b/>
          <w:bCs/>
          <w:color w:val="8A6D3B"/>
          <w:sz w:val="30"/>
          <w:szCs w:val="30"/>
        </w:rPr>
        <w:t xml:space="preserve">7. Régénération tissulaire : les nanofibres bioactives (Pr S. Stupp, Northwestern)</w:t>
      </w:r>
    </w:p>
    <w:p>
      <w:pPr>
        <w:spacing w:after="160" w:line="300"/>
      </w:pPr>
      <w:r>
        <w:rPr>
          <w:color w:val="1F1F1F"/>
          <w:sz w:val="21"/>
          <w:szCs w:val="21"/>
        </w:rPr>
        <w:t xml:space="preserve">Technologie de nanofibres injectables (« dancing molecules ») qui réduisent la cicatrice gliale et favorisent la repousse axonale en modèle animal, avec des résultats récents encourageants sur organoïdes de moelle épinière humaine.</w:t>
      </w:r>
    </w:p>
    <w:p>
      <w:pPr>
        <w:pBdr>
          <w:left w:val="single" w:color="8A6D3B" w:sz="18" w:space="8"/>
        </w:pBdr>
        <w:shd w:fill="F5F1E8" w:color="auto" w:val="clear"/>
        <w:spacing w:after="200" w:line="280"/>
        <w:ind w:left="200"/>
      </w:pPr>
      <w:r>
        <w:rPr>
          <w:i/>
          <w:iCs/>
          <w:color w:val="4A4A4A"/>
          <w:sz w:val="20"/>
          <w:szCs w:val="20"/>
        </w:rPr>
        <w:t xml:space="preserve">Point clé : la spin-off Amphix Bio vise ses premiers essais chez l'humain fin 2026, mais exclusivement pour la lésion médullaire aiguë traumatique — pas pour la neurodégénérescence chronique progressive. Une validation préclinique élargie à d'autres maladies neurodégénératives a été évoquée par l'équipe, sans essai spécifique SEP-PP à ce jour.</w:t>
      </w:r>
    </w:p>
    <w:p>
      <w:pPr>
        <w:pStyle w:val="Heading1"/>
        <w:spacing w:after="160" w:before="360"/>
      </w:pPr>
      <w:r>
        <w:rPr>
          <w:b/>
          <w:bCs/>
          <w:color w:val="8A6D3B"/>
          <w:sz w:val="30"/>
          <w:szCs w:val="30"/>
        </w:rPr>
        <w:t xml:space="preserve">8. Pistes françaises</w:t>
      </w:r>
    </w:p>
    <w:p>
      <w:pPr>
        <w:pStyle w:val="ListParagraph"/>
        <w:numPr>
          <w:ilvl w:val="0"/>
          <w:numId w:val="2"/>
        </w:numPr>
        <w:spacing w:after="90" w:line="290"/>
      </w:pPr>
      <w:r>
        <w:rPr>
          <w:b w:val="false"/>
          <w:bCs w:val="false"/>
          <w:color w:val="1F1F1F"/>
          <w:sz w:val="21"/>
          <w:szCs w:val="21"/>
        </w:rPr>
        <w:t xml:space="preserve">Pr Vermersch (Lille) — masitinib / essai MAXIMS : phase 3 confirmatoire en cours, mais réservée à un EDSS d'inclusion de 3,0 à 6,0 (hors profil EDSS 6,5–7) ; à évoquer directement avec l'investigateur pour un accès compassionnel éventuel après AMM.</w:t>
      </w:r>
    </w:p>
    <w:p>
      <w:pPr>
        <w:pStyle w:val="ListParagraph"/>
        <w:numPr>
          <w:ilvl w:val="0"/>
          <w:numId w:val="2"/>
        </w:numPr>
        <w:spacing w:after="90" w:line="290"/>
      </w:pPr>
      <w:r>
        <w:rPr>
          <w:b w:val="false"/>
          <w:bCs w:val="false"/>
          <w:color w:val="1F1F1F"/>
          <w:sz w:val="21"/>
          <w:szCs w:val="21"/>
        </w:rPr>
        <w:t xml:space="preserve">Institut du Cerveau (ICM, Paris) — bavisant : stade préclinique uniquement, aucun essai humain ouvert.</w:t>
      </w:r>
    </w:p>
    <w:p>
      <w:pPr>
        <w:pStyle w:val="Heading1"/>
        <w:spacing w:after="160" w:before="360"/>
      </w:pPr>
      <w:r>
        <w:rPr>
          <w:b/>
          <w:bCs/>
          <w:color w:val="8A6D3B"/>
          <w:sz w:val="30"/>
          <w:szCs w:val="30"/>
        </w:rPr>
        <w:t xml:space="preserve">9. Pistes d'action concrètes</w:t>
      </w:r>
    </w:p>
    <w:p>
      <w:pPr>
        <w:pStyle w:val="ListParagraph"/>
        <w:numPr>
          <w:ilvl w:val="0"/>
          <w:numId w:val="2"/>
        </w:numPr>
        <w:spacing w:after="90" w:line="290"/>
      </w:pPr>
      <w:r>
        <w:rPr>
          <w:b w:val="false"/>
          <w:bCs w:val="false"/>
          <w:color w:val="1F1F1F"/>
          <w:sz w:val="21"/>
          <w:szCs w:val="21"/>
        </w:rPr>
        <w:t xml:space="preserve">Centres de ressources et de compétences SEP (CRC-SEP) : accès facilité aux essais cliniques et au réseau Progressive MS Alliance (PMSA).</w:t>
      </w:r>
    </w:p>
    <w:p>
      <w:pPr>
        <w:pStyle w:val="ListParagraph"/>
        <w:numPr>
          <w:ilvl w:val="0"/>
          <w:numId w:val="2"/>
        </w:numPr>
        <w:spacing w:after="90" w:line="290"/>
      </w:pPr>
      <w:r>
        <w:rPr>
          <w:b w:val="false"/>
          <w:bCs w:val="false"/>
          <w:color w:val="1F1F1F"/>
          <w:sz w:val="21"/>
          <w:szCs w:val="21"/>
        </w:rPr>
        <w:t xml:space="preserve">Surveillance active de clinicaltrials.gov et de l'EU Clinical Trials Register avec les mots-clés : « progressive MS », « neuroprotection », « remyelination », « axonal loss ».</w:t>
      </w:r>
    </w:p>
    <w:p>
      <w:pPr>
        <w:pStyle w:val="ListParagraph"/>
        <w:numPr>
          <w:ilvl w:val="0"/>
          <w:numId w:val="2"/>
        </w:numPr>
        <w:spacing w:after="90" w:line="290"/>
      </w:pPr>
      <w:r>
        <w:rPr>
          <w:b w:val="false"/>
          <w:bCs w:val="false"/>
          <w:color w:val="1F1F1F"/>
          <w:sz w:val="21"/>
          <w:szCs w:val="21"/>
        </w:rPr>
        <w:t xml:space="preserve">Échanger directement avec le Pr Vermersch sur l'évolution éventuelle des critères d'inclusion de MAXIMS et sur un accès compassionnel post-AMM.</w:t>
      </w:r>
    </w:p>
    <w:p>
      <w:pPr>
        <w:pStyle w:val="Heading1"/>
        <w:spacing w:after="160" w:before="360"/>
      </w:pPr>
      <w:r>
        <w:rPr>
          <w:b/>
          <w:bCs/>
          <w:color w:val="8A6D3B"/>
          <w:sz w:val="30"/>
          <w:szCs w:val="30"/>
        </w:rPr>
        <w:t xml:space="preserve">10. Sources principales citées</w:t>
      </w:r>
    </w:p>
    <w:p>
      <w:pPr>
        <w:spacing w:after="160" w:line="300"/>
      </w:pPr>
      <w:r>
        <w:rPr>
          <w:color w:val="666666"/>
          <w:sz w:val="19"/>
          <w:szCs w:val="19"/>
        </w:rPr>
        <w:t xml:space="preserve">Science (Ascherio et al., 2022) · Sanofi (communiqués PERSEUS, déc. 2025) · Atara Biotherapeutics / NeurologyLive (EMBOLD) · GeNeuro / BusinessWire (procédure de faillite, janv. 2026) · AB Science (communiqués MAXIMS, gouvernance) · Institut du Cerveau (publication bavisant, janv. 2026) · Laboratoire S. Stupp, Northwestern University / Amphix Bio · ECTRIMS (congrès 2024–2025) · UCL (MS-SMART, MS-STAT2).</w:t>
      </w:r>
    </w:p>
    <w:p>
      <w:pPr>
        <w:pBdr>
          <w:top w:val="single" w:color="CCCCCC" w:sz="6" w:space="8"/>
        </w:pBdr>
        <w:spacing w:before="300"/>
      </w:pPr>
      <w:r>
        <w:rPr>
          <w:i/>
          <w:iCs/>
          <w:color w:val="666666"/>
          <w:sz w:val="17"/>
          <w:szCs w:val="17"/>
        </w:rPr>
        <w:t xml:space="preserve">Document généré à titre d'aide à l'information — ne remplace pas un avis médical individualisé.</w:t>
      </w:r>
    </w:p>
    <w:sectPr>
      <w:pgSz w:w="11907" w:h="16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2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2026-07-30T13:16:24.776Z</dcterms:created>
  <dcterms:modified xsi:type="dcterms:W3CDTF">2026-07-30T13:16:24.800Z</dcterms:modified>
</cp:coreProperties>
</file>

<file path=docProps/custom.xml><?xml version="1.0" encoding="utf-8"?>
<Properties xmlns="http://schemas.openxmlformats.org/officeDocument/2006/custom-properties" xmlns:vt="http://schemas.openxmlformats.org/officeDocument/2006/docPropsVTypes"/>
</file>